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87" w:rsidRPr="00DC3C4F" w:rsidRDefault="00AC7687" w:rsidP="00AC7687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28"/>
          <w:szCs w:val="28"/>
          <w:lang w:eastAsia="fr-FR" w:bidi="ar-DZ"/>
        </w:rPr>
      </w:pPr>
      <w:r w:rsidRPr="00DC3C4F">
        <w:rPr>
          <w:rFonts w:ascii="Arabic Typesetting" w:eastAsia="Times New Roman" w:hAnsi="Arabic Typesetting" w:cs="mohammad bold art 1"/>
          <w:b/>
          <w:bCs/>
          <w:sz w:val="28"/>
          <w:szCs w:val="28"/>
          <w:rtl/>
          <w:lang w:eastAsia="fr-FR" w:bidi="ar-DZ"/>
        </w:rPr>
        <w:t>الجمهـورية الجزائـرية الديمقـراطية الشعبيـة</w:t>
      </w:r>
    </w:p>
    <w:p w:rsidR="00AC7687" w:rsidRPr="00DC3C4F" w:rsidRDefault="00AC7687" w:rsidP="00AC7687">
      <w:pPr>
        <w:bidi/>
        <w:spacing w:after="0" w:line="240" w:lineRule="auto"/>
        <w:jc w:val="center"/>
        <w:rPr>
          <w:rFonts w:ascii="Arabic Typesetting" w:eastAsia="Times New Roman" w:hAnsi="Arabic Typesetting" w:cs="mohammad bold art 1"/>
          <w:b/>
          <w:bCs/>
          <w:sz w:val="28"/>
          <w:szCs w:val="28"/>
          <w:rtl/>
          <w:lang w:eastAsia="fr-FR" w:bidi="ar-DZ"/>
        </w:rPr>
      </w:pPr>
      <w:proofErr w:type="gramStart"/>
      <w:r w:rsidRPr="00DC3C4F">
        <w:rPr>
          <w:rFonts w:ascii="Arabic Typesetting" w:eastAsia="Times New Roman" w:hAnsi="Arabic Typesetting" w:cs="mohammad bold art 1"/>
          <w:b/>
          <w:bCs/>
          <w:sz w:val="28"/>
          <w:szCs w:val="28"/>
          <w:rtl/>
          <w:lang w:eastAsia="fr-FR" w:bidi="ar-DZ"/>
        </w:rPr>
        <w:t>وزارة</w:t>
      </w:r>
      <w:proofErr w:type="gramEnd"/>
      <w:r w:rsidRPr="00DC3C4F">
        <w:rPr>
          <w:rFonts w:ascii="Arabic Typesetting" w:eastAsia="Times New Roman" w:hAnsi="Arabic Typesetting" w:cs="mohammad bold art 1"/>
          <w:b/>
          <w:bCs/>
          <w:sz w:val="28"/>
          <w:szCs w:val="28"/>
          <w:rtl/>
          <w:lang w:eastAsia="fr-FR" w:bidi="ar-DZ"/>
        </w:rPr>
        <w:t xml:space="preserve"> التعليم العالي والبحث العلمي</w:t>
      </w:r>
    </w:p>
    <w:p w:rsidR="00AC7687" w:rsidRPr="00253513" w:rsidRDefault="00AC7687" w:rsidP="00AC7687">
      <w:pPr>
        <w:bidi/>
        <w:spacing w:after="0" w:line="360" w:lineRule="auto"/>
        <w:jc w:val="center"/>
        <w:rPr>
          <w:rFonts w:ascii="Arabic Typesetting" w:eastAsia="Times New Roman" w:hAnsi="Arabic Typesetting" w:cs="mohammad bold art 1"/>
          <w:b/>
          <w:bCs/>
          <w:sz w:val="20"/>
          <w:szCs w:val="20"/>
          <w:rtl/>
          <w:lang w:eastAsia="fr-FR" w:bidi="ar-DZ"/>
        </w:rPr>
      </w:pPr>
      <w:r w:rsidRPr="00DC3C4F">
        <w:rPr>
          <w:rFonts w:eastAsiaTheme="minorEastAs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CD34C" wp14:editId="59F2CAF9">
                <wp:simplePos x="0" y="0"/>
                <wp:positionH relativeFrom="column">
                  <wp:posOffset>-909320</wp:posOffset>
                </wp:positionH>
                <wp:positionV relativeFrom="paragraph">
                  <wp:posOffset>349884</wp:posOffset>
                </wp:positionV>
                <wp:extent cx="3086100" cy="1495425"/>
                <wp:effectExtent l="0" t="0" r="19050" b="2857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687" w:rsidRPr="00DC3C4F" w:rsidRDefault="00AC7687" w:rsidP="00AC7687">
                            <w:pPr>
                              <w:spacing w:line="240" w:lineRule="exact"/>
                              <w:ind w:right="-142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Ministère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 xml:space="preserve"> de l’enseignement supérieure 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et de </w:t>
                            </w:r>
                            <w:proofErr w:type="spellStart"/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larecherche</w:t>
                            </w:r>
                            <w:proofErr w:type="spellEnd"/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scientifique</w:t>
                            </w:r>
                          </w:p>
                          <w:p w:rsidR="00AC7687" w:rsidRPr="00DC3C4F" w:rsidRDefault="00AC7687" w:rsidP="00AC7687">
                            <w:pPr>
                              <w:spacing w:line="240" w:lineRule="exact"/>
                              <w:ind w:right="-142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Université 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 xml:space="preserve">Yahia </w:t>
                            </w:r>
                            <w:proofErr w:type="spellStart"/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Farès</w:t>
                            </w:r>
                            <w:proofErr w:type="spellEnd"/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 xml:space="preserve"> de Médéa</w:t>
                            </w:r>
                          </w:p>
                          <w:p w:rsidR="00AC7687" w:rsidRPr="00DC3C4F" w:rsidRDefault="00AC7687" w:rsidP="00AC7687">
                            <w:pPr>
                              <w:spacing w:line="240" w:lineRule="exact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-Faculté des sciences économiques et des sciences Commerciales et des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sciences de gestion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DC3C4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le Vice Doyen chargé de la Post Graduation de la Recherche Scientifique</w:t>
                            </w:r>
                          </w:p>
                          <w:p w:rsidR="00AC7687" w:rsidRPr="002E01B2" w:rsidRDefault="00AC7687" w:rsidP="00AC768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-71.6pt;margin-top:27.55pt;width:243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" strokecolor="white">
                <v:textbox>
                  <w:txbxContent>
                    <w:p w:rsidR="00AC7687" w:rsidRPr="00DC3C4F" w:rsidRDefault="00AC7687" w:rsidP="00AC7687">
                      <w:pPr>
                        <w:spacing w:line="240" w:lineRule="exact"/>
                        <w:ind w:right="-142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-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</w:rPr>
                        <w:t>Ministère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 xml:space="preserve"> de l’enseignement supérieure 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et de </w:t>
                      </w:r>
                      <w:proofErr w:type="spellStart"/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</w:rPr>
                        <w:t>larecherche</w:t>
                      </w:r>
                      <w:proofErr w:type="spellEnd"/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scientifique</w:t>
                      </w:r>
                    </w:p>
                    <w:p w:rsidR="00AC7687" w:rsidRPr="00DC3C4F" w:rsidRDefault="00AC7687" w:rsidP="00AC7687">
                      <w:pPr>
                        <w:spacing w:line="240" w:lineRule="exact"/>
                        <w:ind w:right="-142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</w:pP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-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Université 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 xml:space="preserve">Yahia </w:t>
                      </w:r>
                      <w:proofErr w:type="spellStart"/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Farès</w:t>
                      </w:r>
                      <w:proofErr w:type="spellEnd"/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 xml:space="preserve"> de Médéa</w:t>
                      </w:r>
                    </w:p>
                    <w:p w:rsidR="00AC7687" w:rsidRPr="00DC3C4F" w:rsidRDefault="00AC7687" w:rsidP="00AC7687">
                      <w:pPr>
                        <w:spacing w:line="240" w:lineRule="exact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</w:rPr>
                        <w:t>-Faculté des sciences économiques et des sciences Commerciales et des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US"/>
                        </w:rPr>
                        <w:t xml:space="preserve"> 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</w:rPr>
                        <w:t>sciences de gestion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-</w:t>
                      </w:r>
                      <w:r w:rsidRPr="00DC3C4F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le Vice Doyen chargé de la Post Graduation de la Recherche Scientifique</w:t>
                      </w:r>
                    </w:p>
                    <w:p w:rsidR="00AC7687" w:rsidRPr="002E01B2" w:rsidRDefault="00AC7687" w:rsidP="00AC7687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DC3C4F">
        <w:rPr>
          <w:rFonts w:ascii="Arabic Typesetting" w:eastAsia="Times New Roman" w:hAnsi="Arabic Typesetting" w:cs="mohammad bold art 1"/>
          <w:b/>
          <w:bCs/>
          <w:sz w:val="28"/>
          <w:szCs w:val="28"/>
          <w:rtl/>
          <w:lang w:eastAsia="fr-FR" w:bidi="ar-DZ"/>
        </w:rPr>
        <w:t>جـامعـة</w:t>
      </w:r>
      <w:proofErr w:type="gramEnd"/>
      <w:r w:rsidRPr="00DC3C4F">
        <w:rPr>
          <w:rFonts w:ascii="Arabic Typesetting" w:eastAsia="Times New Roman" w:hAnsi="Arabic Typesetting" w:cs="mohammad bold art 1"/>
          <w:b/>
          <w:bCs/>
          <w:sz w:val="28"/>
          <w:szCs w:val="28"/>
          <w:rtl/>
          <w:lang w:eastAsia="fr-FR" w:bidi="ar-DZ"/>
        </w:rPr>
        <w:t xml:space="preserve"> يحـي فارس بالمديـة</w:t>
      </w:r>
    </w:p>
    <w:p w:rsidR="00AC7687" w:rsidRPr="00DC3C4F" w:rsidRDefault="00AC7687" w:rsidP="00AC7687">
      <w:pPr>
        <w:bidi/>
        <w:spacing w:after="0" w:line="360" w:lineRule="auto"/>
        <w:ind w:left="-1054"/>
        <w:rPr>
          <w:rFonts w:asciiTheme="minorBidi" w:eastAsia="Times New Roman" w:hAnsiTheme="minorBidi" w:cs="mohammad bold art 1"/>
          <w:b/>
          <w:bCs/>
          <w:sz w:val="24"/>
          <w:szCs w:val="24"/>
          <w:lang w:eastAsia="fr-FR" w:bidi="ar-DZ"/>
        </w:rPr>
      </w:pPr>
      <w:r w:rsidRPr="00DC3C4F">
        <w:rPr>
          <w:rFonts w:asciiTheme="minorBidi" w:eastAsia="Times New Roman" w:hAnsiTheme="minorBidi" w:cs="mohammad bold art 1"/>
          <w:b/>
          <w:bCs/>
          <w:noProof/>
          <w:sz w:val="20"/>
          <w:szCs w:val="20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52618D6B" wp14:editId="037B2F58">
            <wp:simplePos x="0" y="0"/>
            <wp:positionH relativeFrom="margin">
              <wp:posOffset>2119630</wp:posOffset>
            </wp:positionH>
            <wp:positionV relativeFrom="paragraph">
              <wp:posOffset>142875</wp:posOffset>
            </wp:positionV>
            <wp:extent cx="1034648" cy="904875"/>
            <wp:effectExtent l="0" t="0" r="0" b="0"/>
            <wp:wrapNone/>
            <wp:docPr id="10" name="Image 2" descr="C:\Users\karabernou.mohamed.UNIV-MEDE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bernou.mohamed.UNIV-MEDEA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48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C4F">
        <w:rPr>
          <w:rFonts w:ascii="Arabic Typesetting" w:eastAsia="Times New Roman" w:hAnsi="Arabic Typesetting" w:cs="mohammad bold art 1"/>
          <w:b/>
          <w:bCs/>
          <w:sz w:val="20"/>
          <w:szCs w:val="20"/>
          <w:rtl/>
          <w:lang w:eastAsia="fr-FR" w:bidi="ar-DZ"/>
        </w:rPr>
        <w:t xml:space="preserve">    </w:t>
      </w:r>
      <w:proofErr w:type="gramStart"/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>كلية</w:t>
      </w:r>
      <w:proofErr w:type="gramEnd"/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 xml:space="preserve"> العلوم الاقتصادية والعلوم التجارية وعلوم التسيير</w:t>
      </w:r>
    </w:p>
    <w:p w:rsidR="00AC7687" w:rsidRDefault="00AC7687" w:rsidP="00AC7687">
      <w:pPr>
        <w:bidi/>
        <w:spacing w:after="0" w:line="360" w:lineRule="auto"/>
        <w:ind w:left="-1054"/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</w:pPr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 xml:space="preserve">    نيابة العمادة المكلفة بما بعد التدرج والبحث العلمي</w:t>
      </w:r>
    </w:p>
    <w:p w:rsidR="00AC7687" w:rsidRPr="00DC3C4F" w:rsidRDefault="00AC7687" w:rsidP="00AC7687">
      <w:pPr>
        <w:bidi/>
        <w:spacing w:after="0" w:line="360" w:lineRule="auto"/>
        <w:ind w:left="-1054"/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</w:pPr>
      <w:r>
        <w:rPr>
          <w:rFonts w:asciiTheme="minorBidi" w:eastAsia="Times New Roman" w:hAnsiTheme="minorBidi" w:cs="mohammad bold art 1" w:hint="cs"/>
          <w:b/>
          <w:bCs/>
          <w:sz w:val="24"/>
          <w:szCs w:val="24"/>
          <w:rtl/>
          <w:lang w:eastAsia="fr-FR" w:bidi="ar-DZ"/>
        </w:rPr>
        <w:t xml:space="preserve">   </w:t>
      </w:r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 xml:space="preserve"> </w:t>
      </w:r>
      <w:proofErr w:type="gramStart"/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>والعلاقات</w:t>
      </w:r>
      <w:proofErr w:type="gramEnd"/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 xml:space="preserve"> الخارجية</w:t>
      </w:r>
    </w:p>
    <w:p w:rsidR="00AC7687" w:rsidRPr="00DC3C4F" w:rsidRDefault="00AC7687" w:rsidP="00AC7687">
      <w:pPr>
        <w:bidi/>
        <w:spacing w:after="0" w:line="240" w:lineRule="auto"/>
        <w:ind w:left="-1054"/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</w:pPr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 xml:space="preserve">    المدية في</w:t>
      </w:r>
      <w:proofErr w:type="gramStart"/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>:  .</w:t>
      </w:r>
      <w:proofErr w:type="gramEnd"/>
      <w:r w:rsidRPr="00DC3C4F">
        <w:rPr>
          <w:rFonts w:asciiTheme="minorBidi" w:eastAsia="Times New Roman" w:hAnsiTheme="minorBidi" w:cs="mohammad bold art 1"/>
          <w:b/>
          <w:bCs/>
          <w:sz w:val="24"/>
          <w:szCs w:val="24"/>
          <w:rtl/>
          <w:lang w:eastAsia="fr-FR" w:bidi="ar-DZ"/>
        </w:rPr>
        <w:t>................................................</w:t>
      </w:r>
    </w:p>
    <w:p w:rsidR="00AC7687" w:rsidRDefault="00AC7687" w:rsidP="00AC7687">
      <w:pPr>
        <w:bidi/>
        <w:spacing w:line="240" w:lineRule="auto"/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</w:pPr>
    </w:p>
    <w:p w:rsidR="001E0CB3" w:rsidRPr="00F90F8C" w:rsidRDefault="001E0CB3" w:rsidP="001E0CB3">
      <w:pPr>
        <w:bidi/>
        <w:spacing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AC7687" w:rsidRDefault="001E0CB3" w:rsidP="00AC7687">
      <w:pPr>
        <w:jc w:val="center"/>
        <w:rPr>
          <w:rtl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9pt;height:63.75pt" fillcolor="black [3213]" strokecolor="black [3213]">
            <v:fill color2="#f93"/>
            <v:shadow on="t" color="silver" opacity="52429f"/>
            <v:textpath style="font-family:&quot;Andalus&quot;;font-size:32pt;v-text-kern:t" trim="t" fitpath="t" string="إعلان"/>
          </v:shape>
        </w:pict>
      </w:r>
    </w:p>
    <w:p w:rsidR="00AC7687" w:rsidRPr="0074221F" w:rsidRDefault="00AC7687" w:rsidP="001E0CB3">
      <w:pPr>
        <w:spacing w:line="360" w:lineRule="auto"/>
        <w:jc w:val="center"/>
        <w:rPr>
          <w:rtl/>
        </w:rPr>
      </w:pPr>
    </w:p>
    <w:p w:rsidR="00AC7687" w:rsidRPr="001E0CB3" w:rsidRDefault="00AC7687" w:rsidP="001E0CB3">
      <w:pPr>
        <w:bidi/>
        <w:spacing w:line="360" w:lineRule="auto"/>
        <w:ind w:left="-567" w:right="-284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ascii="Traditional Arabic" w:hAnsi="Traditional Arabic" w:cs="mohammad bold art 1" w:hint="cs"/>
          <w:sz w:val="32"/>
          <w:szCs w:val="32"/>
          <w:rtl/>
          <w:lang w:bidi="ar-DZ"/>
        </w:rPr>
        <w:t xml:space="preserve">      </w:t>
      </w:r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طبقا للقرار رقم 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>1349</w:t>
      </w:r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المؤرخ في 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  <w:lang w:bidi="ar-DZ"/>
        </w:rPr>
        <w:t xml:space="preserve">04/10/2022 </w:t>
      </w:r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الذي يحدد معايير الانتقاء للقبول في برنامج الحركية قصيرة المدى بالخارج يرجى من السادة 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  <w:lang w:bidi="ar-DZ"/>
        </w:rPr>
        <w:t>الأساتذة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، 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  <w:lang w:bidi="ar-DZ"/>
        </w:rPr>
        <w:t>الطلبة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و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  <w:lang w:bidi="ar-DZ"/>
        </w:rPr>
        <w:t>الموظفين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الراغبين في الحصول على منحة </w:t>
      </w:r>
      <w:proofErr w:type="spellStart"/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تداريب</w:t>
      </w:r>
      <w:proofErr w:type="spellEnd"/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تحسين المستوى بالخارج (أستاذ مساعد أ، أستاذ مساعد ب، طالب دكتوراه غير أجير، موظفين) أو اقامة علمية قصيرة المدى ذات مستوى عالي (أستاذ، أستاذ محاضر أ، أستاذ محاضر ب) 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  <w:lang w:bidi="ar-DZ"/>
        </w:rPr>
        <w:t>تحميل استمارة مشروع عمل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من موقع الكلية وملئها واعادتها الى نيابة العمادة من أجل المصادق عليها من طرف الهيئات المعنية 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  <w:lang w:bidi="ar-DZ"/>
        </w:rPr>
        <w:t>قبل منتصف يوم الأربعاء 19/10/2022</w:t>
      </w:r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، ليتم اعادة استلامها </w:t>
      </w:r>
      <w:r w:rsidRPr="001E0CB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  <w:lang w:bidi="ar-DZ"/>
        </w:rPr>
        <w:t>يوم الخميس 20/10/2022 صباحا.</w:t>
      </w:r>
    </w:p>
    <w:p w:rsidR="00AC7687" w:rsidRPr="001E0CB3" w:rsidRDefault="00AC7687" w:rsidP="001E0CB3">
      <w:pPr>
        <w:bidi/>
        <w:ind w:left="-567" w:right="-284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ملاحظة: </w:t>
      </w:r>
    </w:p>
    <w:p w:rsidR="00AC7687" w:rsidRPr="001E0CB3" w:rsidRDefault="001E0CB3" w:rsidP="001E0CB3">
      <w:pPr>
        <w:bidi/>
        <w:spacing w:after="0" w:line="240" w:lineRule="auto"/>
        <w:ind w:left="-567" w:right="-284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bookmarkStart w:id="0" w:name="_GoBack"/>
      <w:bookmarkEnd w:id="0"/>
      <w:r w:rsidR="00AC7687" w:rsidRPr="001E0CB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بالنسبة للأساتذة والطلبة المصادقة تتم </w:t>
      </w:r>
      <w:proofErr w:type="gramStart"/>
      <w:r w:rsidR="00AC7687" w:rsidRPr="001E0CB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من</w:t>
      </w:r>
      <w:proofErr w:type="gramEnd"/>
      <w:r w:rsidR="00AC7687" w:rsidRPr="001E0CB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طرف المجلس العلمي للكلية؛</w:t>
      </w:r>
    </w:p>
    <w:p w:rsidR="00AC7687" w:rsidRPr="001E0CB3" w:rsidRDefault="001E0CB3" w:rsidP="001E0CB3">
      <w:pPr>
        <w:bidi/>
        <w:spacing w:after="0" w:line="240" w:lineRule="auto"/>
        <w:ind w:left="-567" w:right="-284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AC7687" w:rsidRPr="001E0CB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بالنسبة للموظفين المصادقة تتم </w:t>
      </w:r>
      <w:proofErr w:type="gramStart"/>
      <w:r w:rsidR="00AC7687" w:rsidRPr="001E0CB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من</w:t>
      </w:r>
      <w:proofErr w:type="gramEnd"/>
      <w:r w:rsidR="00AC7687" w:rsidRPr="001E0CB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طرف مدير المؤسسة.</w:t>
      </w:r>
    </w:p>
    <w:p w:rsidR="00AC7687" w:rsidRPr="001E0CB3" w:rsidRDefault="00AC7687" w:rsidP="001E0CB3">
      <w:pPr>
        <w:bidi/>
        <w:ind w:left="-567" w:right="-284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1E0CB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نـــــائب العميد</w:t>
      </w:r>
    </w:p>
    <w:p w:rsidR="00820D8F" w:rsidRDefault="00820D8F"/>
    <w:sectPr w:rsidR="00820D8F" w:rsidSect="00AC76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B280C"/>
    <w:multiLevelType w:val="hybridMultilevel"/>
    <w:tmpl w:val="D6D89F10"/>
    <w:lvl w:ilvl="0" w:tplc="867CE1A4">
      <w:start w:val="1"/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87"/>
    <w:rsid w:val="001E0CB3"/>
    <w:rsid w:val="00820D8F"/>
    <w:rsid w:val="00A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8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7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8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doctorat</dc:creator>
  <cp:lastModifiedBy>hp</cp:lastModifiedBy>
  <cp:revision>2</cp:revision>
  <dcterms:created xsi:type="dcterms:W3CDTF">2022-10-17T08:12:00Z</dcterms:created>
  <dcterms:modified xsi:type="dcterms:W3CDTF">2022-10-17T08:12:00Z</dcterms:modified>
</cp:coreProperties>
</file>